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921" w:rsidRPr="00363921" w:rsidRDefault="00363921" w:rsidP="00363921">
      <w:pPr>
        <w:rPr>
          <w:b/>
          <w:sz w:val="20"/>
          <w:szCs w:val="20"/>
          <w:lang w:val="en-US"/>
        </w:rPr>
      </w:pPr>
      <w:r w:rsidRPr="00363921">
        <w:rPr>
          <w:noProof/>
          <w:sz w:val="20"/>
          <w:szCs w:val="20"/>
          <w:lang w:eastAsia="fr-FR"/>
        </w:rPr>
        <w:drawing>
          <wp:inline distT="0" distB="0" distL="0" distR="0" wp14:anchorId="5A389E11" wp14:editId="4914D049">
            <wp:extent cx="4758055" cy="1574800"/>
            <wp:effectExtent l="0" t="0" r="4445" b="6350"/>
            <wp:docPr id="1" name="Image 1" descr="Dublin 2016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blin 2016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58055" cy="1574800"/>
                    </a:xfrm>
                    <a:prstGeom prst="rect">
                      <a:avLst/>
                    </a:prstGeom>
                    <a:noFill/>
                    <a:ln>
                      <a:noFill/>
                    </a:ln>
                  </pic:spPr>
                </pic:pic>
              </a:graphicData>
            </a:graphic>
          </wp:inline>
        </w:drawing>
      </w:r>
    </w:p>
    <w:p w:rsidR="00363921" w:rsidRPr="00363921" w:rsidRDefault="00363921" w:rsidP="00363921">
      <w:pPr>
        <w:spacing w:after="0"/>
        <w:outlineLvl w:val="0"/>
        <w:rPr>
          <w:b/>
          <w:color w:val="1F497D" w:themeColor="text2"/>
          <w:sz w:val="20"/>
          <w:szCs w:val="20"/>
        </w:rPr>
      </w:pPr>
      <w:r w:rsidRPr="00363921">
        <w:rPr>
          <w:b/>
          <w:color w:val="1F497D" w:themeColor="text2"/>
          <w:sz w:val="20"/>
          <w:szCs w:val="20"/>
        </w:rPr>
        <w:t xml:space="preserve">47 </w:t>
      </w:r>
      <w:proofErr w:type="spellStart"/>
      <w:r w:rsidRPr="00363921">
        <w:rPr>
          <w:b/>
          <w:color w:val="1F497D" w:themeColor="text2"/>
          <w:sz w:val="20"/>
          <w:szCs w:val="20"/>
        </w:rPr>
        <w:t>ème</w:t>
      </w:r>
      <w:proofErr w:type="spellEnd"/>
      <w:r w:rsidRPr="00363921">
        <w:rPr>
          <w:b/>
          <w:color w:val="1F497D" w:themeColor="text2"/>
          <w:sz w:val="20"/>
          <w:szCs w:val="20"/>
        </w:rPr>
        <w:t xml:space="preserve">  conférence annuelle organisée par la British and Irish association of Law </w:t>
      </w:r>
      <w:proofErr w:type="spellStart"/>
      <w:r w:rsidRPr="00363921">
        <w:rPr>
          <w:b/>
          <w:color w:val="1F497D" w:themeColor="text2"/>
          <w:sz w:val="20"/>
          <w:szCs w:val="20"/>
        </w:rPr>
        <w:t>Librarians</w:t>
      </w:r>
      <w:proofErr w:type="spellEnd"/>
      <w:r w:rsidRPr="00363921">
        <w:rPr>
          <w:b/>
          <w:color w:val="1F497D" w:themeColor="text2"/>
          <w:sz w:val="20"/>
          <w:szCs w:val="20"/>
        </w:rPr>
        <w:t xml:space="preserve"> (l’association anglaise et irlandaise des documentalistes et gestionnaires de l’information juridique)</w:t>
      </w:r>
    </w:p>
    <w:p w:rsidR="00363921" w:rsidRPr="00363921" w:rsidRDefault="00363921" w:rsidP="00363921">
      <w:pPr>
        <w:pBdr>
          <w:bottom w:val="dotted" w:sz="24" w:space="1" w:color="auto"/>
        </w:pBdr>
        <w:spacing w:after="0"/>
        <w:jc w:val="center"/>
        <w:outlineLvl w:val="0"/>
        <w:rPr>
          <w:b/>
          <w:color w:val="1F497D" w:themeColor="text2"/>
          <w:sz w:val="20"/>
          <w:szCs w:val="20"/>
          <w:lang w:val="en-US"/>
        </w:rPr>
      </w:pPr>
      <w:r w:rsidRPr="00363921">
        <w:rPr>
          <w:b/>
          <w:color w:val="1F497D" w:themeColor="text2"/>
          <w:sz w:val="20"/>
          <w:szCs w:val="20"/>
          <w:lang w:val="en-US"/>
        </w:rPr>
        <w:t xml:space="preserve">Dublin, </w:t>
      </w:r>
      <w:proofErr w:type="spellStart"/>
      <w:r w:rsidRPr="00363921">
        <w:rPr>
          <w:b/>
          <w:color w:val="1F497D" w:themeColor="text2"/>
          <w:sz w:val="20"/>
          <w:szCs w:val="20"/>
          <w:lang w:val="en-US"/>
        </w:rPr>
        <w:t>Irlande</w:t>
      </w:r>
      <w:proofErr w:type="spellEnd"/>
      <w:r w:rsidRPr="00363921">
        <w:rPr>
          <w:b/>
          <w:color w:val="1F497D" w:themeColor="text2"/>
          <w:sz w:val="20"/>
          <w:szCs w:val="20"/>
          <w:lang w:val="en-US"/>
        </w:rPr>
        <w:t xml:space="preserve">– 9 au 11 </w:t>
      </w:r>
      <w:proofErr w:type="spellStart"/>
      <w:r w:rsidRPr="00363921">
        <w:rPr>
          <w:b/>
          <w:color w:val="1F497D" w:themeColor="text2"/>
          <w:sz w:val="20"/>
          <w:szCs w:val="20"/>
          <w:lang w:val="en-US"/>
        </w:rPr>
        <w:t>juin</w:t>
      </w:r>
      <w:proofErr w:type="spellEnd"/>
      <w:r w:rsidRPr="00363921">
        <w:rPr>
          <w:b/>
          <w:color w:val="1F497D" w:themeColor="text2"/>
          <w:sz w:val="20"/>
          <w:szCs w:val="20"/>
          <w:lang w:val="en-US"/>
        </w:rPr>
        <w:t xml:space="preserve"> 2016</w:t>
      </w:r>
    </w:p>
    <w:p w:rsidR="00363921" w:rsidRPr="00363921" w:rsidRDefault="00363921" w:rsidP="00363921">
      <w:pPr>
        <w:pBdr>
          <w:bottom w:val="dotted" w:sz="24" w:space="1" w:color="auto"/>
        </w:pBdr>
        <w:spacing w:after="0"/>
        <w:jc w:val="center"/>
        <w:outlineLvl w:val="0"/>
        <w:rPr>
          <w:b/>
          <w:color w:val="1F497D" w:themeColor="text2"/>
          <w:sz w:val="20"/>
          <w:szCs w:val="20"/>
          <w:lang w:val="en-US"/>
        </w:rPr>
      </w:pPr>
      <w:r w:rsidRPr="00363921">
        <w:rPr>
          <w:b/>
          <w:color w:val="1F497D" w:themeColor="text2"/>
          <w:sz w:val="20"/>
          <w:szCs w:val="20"/>
          <w:lang w:val="en-US"/>
        </w:rPr>
        <w:t xml:space="preserve"> The value of change</w:t>
      </w:r>
    </w:p>
    <w:p w:rsidR="00363921" w:rsidRPr="00363921" w:rsidRDefault="00363921" w:rsidP="00363921">
      <w:pPr>
        <w:rPr>
          <w:sz w:val="20"/>
          <w:szCs w:val="20"/>
          <w:lang w:val="en-US"/>
        </w:rPr>
      </w:pPr>
    </w:p>
    <w:p w:rsidR="00363921" w:rsidRPr="00363921" w:rsidRDefault="00363921" w:rsidP="00363921">
      <w:pPr>
        <w:rPr>
          <w:b/>
          <w:color w:val="548DD4" w:themeColor="text2" w:themeTint="99"/>
          <w:sz w:val="20"/>
          <w:szCs w:val="20"/>
          <w:u w:val="single"/>
          <w:lang w:val="en-US"/>
        </w:rPr>
      </w:pPr>
      <w:r w:rsidRPr="00363921">
        <w:rPr>
          <w:b/>
          <w:color w:val="548DD4" w:themeColor="text2" w:themeTint="99"/>
          <w:sz w:val="20"/>
          <w:szCs w:val="20"/>
          <w:u w:val="single"/>
          <w:lang w:val="en-US"/>
        </w:rPr>
        <w:t xml:space="preserve">Notes de retour de la conference </w:t>
      </w:r>
      <w:hyperlink r:id="rId7" w:history="1">
        <w:r w:rsidRPr="00363921">
          <w:rPr>
            <w:b/>
            <w:color w:val="548DD4" w:themeColor="text2" w:themeTint="99"/>
            <w:sz w:val="20"/>
            <w:szCs w:val="20"/>
            <w:u w:val="single"/>
            <w:lang w:val="en-US"/>
          </w:rPr>
          <w:t xml:space="preserve">BIALL </w:t>
        </w:r>
        <w:proofErr w:type="gramStart"/>
        <w:r w:rsidRPr="00363921">
          <w:rPr>
            <w:b/>
            <w:color w:val="548DD4" w:themeColor="text2" w:themeTint="99"/>
            <w:sz w:val="20"/>
            <w:szCs w:val="20"/>
            <w:u w:val="single"/>
            <w:lang w:val="en-US"/>
          </w:rPr>
          <w:t xml:space="preserve">( </w:t>
        </w:r>
        <w:proofErr w:type="spellStart"/>
        <w:r w:rsidRPr="00363921">
          <w:rPr>
            <w:b/>
            <w:color w:val="548DD4" w:themeColor="text2" w:themeTint="99"/>
            <w:sz w:val="20"/>
            <w:szCs w:val="20"/>
            <w:u w:val="single"/>
            <w:lang w:val="en-US"/>
          </w:rPr>
          <w:t>Bristish</w:t>
        </w:r>
        <w:proofErr w:type="spellEnd"/>
        <w:proofErr w:type="gramEnd"/>
        <w:r w:rsidRPr="00363921">
          <w:rPr>
            <w:b/>
            <w:color w:val="548DD4" w:themeColor="text2" w:themeTint="99"/>
            <w:sz w:val="20"/>
            <w:szCs w:val="20"/>
            <w:u w:val="single"/>
            <w:lang w:val="en-US"/>
          </w:rPr>
          <w:t xml:space="preserve"> and Irish Association of Law Librarians</w:t>
        </w:r>
      </w:hyperlink>
      <w:r w:rsidRPr="00363921">
        <w:rPr>
          <w:b/>
          <w:color w:val="548DD4" w:themeColor="text2" w:themeTint="99"/>
          <w:sz w:val="20"/>
          <w:szCs w:val="20"/>
          <w:u w:val="single"/>
          <w:lang w:val="en-US"/>
        </w:rPr>
        <w:t xml:space="preserve">. </w:t>
      </w:r>
    </w:p>
    <w:p w:rsidR="00363921" w:rsidRPr="00363921" w:rsidRDefault="00363921" w:rsidP="00363921">
      <w:pPr>
        <w:rPr>
          <w:b/>
          <w:color w:val="548DD4" w:themeColor="text2" w:themeTint="99"/>
          <w:sz w:val="20"/>
          <w:szCs w:val="20"/>
          <w:u w:val="single"/>
        </w:rPr>
      </w:pPr>
      <w:r w:rsidRPr="00363921">
        <w:rPr>
          <w:b/>
          <w:color w:val="548DD4" w:themeColor="text2" w:themeTint="99"/>
          <w:sz w:val="20"/>
          <w:szCs w:val="20"/>
          <w:u w:val="single"/>
        </w:rPr>
        <w:t xml:space="preserve">Rédigé par Sylvie </w:t>
      </w:r>
      <w:proofErr w:type="spellStart"/>
      <w:r w:rsidRPr="00363921">
        <w:rPr>
          <w:b/>
          <w:color w:val="548DD4" w:themeColor="text2" w:themeTint="99"/>
          <w:sz w:val="20"/>
          <w:szCs w:val="20"/>
          <w:u w:val="single"/>
        </w:rPr>
        <w:t>Chevillotte</w:t>
      </w:r>
      <w:proofErr w:type="spellEnd"/>
      <w:r w:rsidRPr="00363921">
        <w:rPr>
          <w:b/>
          <w:color w:val="548DD4" w:themeColor="text2" w:themeTint="99"/>
          <w:sz w:val="20"/>
          <w:szCs w:val="20"/>
          <w:u w:val="single"/>
        </w:rPr>
        <w:t xml:space="preserve">, BIU Cujas; Membre du CA de </w:t>
      </w:r>
      <w:proofErr w:type="spellStart"/>
      <w:r w:rsidRPr="00363921">
        <w:rPr>
          <w:b/>
          <w:color w:val="548DD4" w:themeColor="text2" w:themeTint="99"/>
          <w:sz w:val="20"/>
          <w:szCs w:val="20"/>
          <w:u w:val="single"/>
        </w:rPr>
        <w:t>Juriconnexion</w:t>
      </w:r>
      <w:proofErr w:type="spellEnd"/>
    </w:p>
    <w:p w:rsidR="00363921" w:rsidRPr="00363921" w:rsidRDefault="00363921" w:rsidP="00363921">
      <w:pPr>
        <w:rPr>
          <w:sz w:val="20"/>
          <w:szCs w:val="20"/>
        </w:rPr>
      </w:pPr>
      <w:r w:rsidRPr="00363921">
        <w:rPr>
          <w:sz w:val="20"/>
          <w:szCs w:val="20"/>
        </w:rPr>
        <w:t xml:space="preserve">250 personnes environ participaient à cette conférence annuelle qui se tenait à Dublin durant 2 jours ½, et à laquelle, comme chaque année, </w:t>
      </w:r>
      <w:proofErr w:type="spellStart"/>
      <w:r w:rsidRPr="00363921">
        <w:rPr>
          <w:sz w:val="20"/>
          <w:szCs w:val="20"/>
        </w:rPr>
        <w:t>Juriconnexion</w:t>
      </w:r>
      <w:proofErr w:type="spellEnd"/>
      <w:r w:rsidRPr="00363921">
        <w:rPr>
          <w:sz w:val="20"/>
          <w:szCs w:val="20"/>
        </w:rPr>
        <w:t xml:space="preserve"> était invitée. </w:t>
      </w:r>
    </w:p>
    <w:p w:rsidR="00363921" w:rsidRPr="00363921" w:rsidRDefault="00363921" w:rsidP="00363921">
      <w:pPr>
        <w:rPr>
          <w:sz w:val="20"/>
          <w:szCs w:val="20"/>
        </w:rPr>
      </w:pPr>
      <w:r w:rsidRPr="00363921">
        <w:rPr>
          <w:sz w:val="20"/>
          <w:szCs w:val="20"/>
        </w:rPr>
        <w:t xml:space="preserve"> La conférence  rassemble des participants d’horizons divers-  professionnels de la documentation et de KM de  cabinets d’avocats et bibliothécaires de bibliothèques de droit de l’enseignement supérieur - et leur offre l’occasion de se retrouver.  Le nombre de participants en provenance  de cabinets d’avocats à la conférence est cependant plus important que ceux du secteur académique (ainsi qu’au CA : pas de représentant des  BU de droit). </w:t>
      </w:r>
    </w:p>
    <w:p w:rsidR="00363921" w:rsidRPr="00363921" w:rsidRDefault="00363921" w:rsidP="00363921">
      <w:pPr>
        <w:rPr>
          <w:sz w:val="20"/>
          <w:szCs w:val="20"/>
        </w:rPr>
      </w:pPr>
      <w:r w:rsidRPr="00363921">
        <w:rPr>
          <w:sz w:val="20"/>
          <w:szCs w:val="20"/>
        </w:rPr>
        <w:t xml:space="preserve">Le fait de représenter </w:t>
      </w:r>
      <w:proofErr w:type="spellStart"/>
      <w:r w:rsidRPr="00363921">
        <w:rPr>
          <w:sz w:val="20"/>
          <w:szCs w:val="20"/>
        </w:rPr>
        <w:t>Juriconnexion</w:t>
      </w:r>
      <w:proofErr w:type="spellEnd"/>
      <w:r w:rsidRPr="00363921">
        <w:rPr>
          <w:sz w:val="20"/>
          <w:szCs w:val="20"/>
        </w:rPr>
        <w:t xml:space="preserve"> - avec une participation multi-casquette : conservateur de la </w:t>
      </w:r>
      <w:hyperlink r:id="rId8" w:history="1">
        <w:r w:rsidRPr="00363921">
          <w:rPr>
            <w:color w:val="0000FF" w:themeColor="hyperlink"/>
            <w:sz w:val="20"/>
            <w:szCs w:val="20"/>
            <w:u w:val="single"/>
          </w:rPr>
          <w:t>BIU Cujas</w:t>
        </w:r>
      </w:hyperlink>
      <w:r w:rsidRPr="00363921">
        <w:rPr>
          <w:sz w:val="20"/>
          <w:szCs w:val="20"/>
        </w:rPr>
        <w:t xml:space="preserve"> invitée comme déléguée étrangère par </w:t>
      </w:r>
      <w:hyperlink r:id="rId9" w:history="1">
        <w:r w:rsidRPr="00363921">
          <w:rPr>
            <w:color w:val="0000FF" w:themeColor="hyperlink"/>
            <w:sz w:val="20"/>
            <w:szCs w:val="20"/>
            <w:u w:val="single"/>
          </w:rPr>
          <w:t xml:space="preserve">Kluwer Law International </w:t>
        </w:r>
      </w:hyperlink>
      <w:r w:rsidRPr="00363921">
        <w:rPr>
          <w:sz w:val="20"/>
          <w:szCs w:val="20"/>
        </w:rPr>
        <w:t xml:space="preserve"> + représentante </w:t>
      </w:r>
      <w:proofErr w:type="spellStart"/>
      <w:r w:rsidRPr="00363921">
        <w:rPr>
          <w:sz w:val="20"/>
          <w:szCs w:val="20"/>
        </w:rPr>
        <w:t>Juriconnexion</w:t>
      </w:r>
      <w:proofErr w:type="spellEnd"/>
      <w:r w:rsidRPr="00363921">
        <w:rPr>
          <w:sz w:val="20"/>
          <w:szCs w:val="20"/>
        </w:rPr>
        <w:t xml:space="preserve"> - m’a permis d’être bien  intégrée et accueillie par les membres du CA. J’ai pu  présenter rapidement </w:t>
      </w:r>
      <w:proofErr w:type="spellStart"/>
      <w:r w:rsidRPr="00363921">
        <w:rPr>
          <w:sz w:val="20"/>
          <w:szCs w:val="20"/>
        </w:rPr>
        <w:t>Juriconnexion</w:t>
      </w:r>
      <w:proofErr w:type="spellEnd"/>
      <w:r w:rsidRPr="00363921">
        <w:rPr>
          <w:sz w:val="20"/>
          <w:szCs w:val="20"/>
        </w:rPr>
        <w:t xml:space="preserve"> ainsi que les futures  Journées Open Law de novembre, lors de l’Assemblée générale de l’association. </w:t>
      </w:r>
    </w:p>
    <w:p w:rsidR="00363921" w:rsidRPr="00363921" w:rsidRDefault="00363921" w:rsidP="00363921">
      <w:pPr>
        <w:rPr>
          <w:sz w:val="20"/>
          <w:szCs w:val="20"/>
        </w:rPr>
      </w:pPr>
      <w:r w:rsidRPr="00363921">
        <w:rPr>
          <w:sz w:val="20"/>
          <w:szCs w:val="20"/>
        </w:rPr>
        <w:t>J’ai également été invitée par Karen Palmer, présidente de l’association et le comité d’organisation de la conférence  à un diner rassemblant le comité ainsi que les représentants d’associations sœurs, Connie Crosby, présidente de l’association canadienne</w:t>
      </w:r>
      <w:hyperlink r:id="rId10" w:history="1">
        <w:r w:rsidRPr="00363921">
          <w:rPr>
            <w:color w:val="0000FF" w:themeColor="hyperlink"/>
            <w:sz w:val="20"/>
            <w:szCs w:val="20"/>
            <w:u w:val="single"/>
          </w:rPr>
          <w:t xml:space="preserve"> CALL</w:t>
        </w:r>
      </w:hyperlink>
      <w:r w:rsidRPr="00363921">
        <w:rPr>
          <w:sz w:val="20"/>
          <w:szCs w:val="20"/>
        </w:rPr>
        <w:t xml:space="preserve"> : Canadian Association of Law </w:t>
      </w:r>
      <w:proofErr w:type="spellStart"/>
      <w:r w:rsidRPr="00363921">
        <w:rPr>
          <w:sz w:val="20"/>
          <w:szCs w:val="20"/>
        </w:rPr>
        <w:t>Libraries</w:t>
      </w:r>
      <w:proofErr w:type="spellEnd"/>
      <w:r w:rsidRPr="00363921">
        <w:rPr>
          <w:sz w:val="20"/>
          <w:szCs w:val="20"/>
        </w:rPr>
        <w:t xml:space="preserve">/ Association canadienne des bibliothèques de droit,  ) et Ronald Wheeler , vice-président de l’association américaine : </w:t>
      </w:r>
      <w:hyperlink r:id="rId11" w:history="1">
        <w:r w:rsidRPr="00363921">
          <w:rPr>
            <w:color w:val="0000FF" w:themeColor="hyperlink"/>
            <w:sz w:val="20"/>
            <w:szCs w:val="20"/>
            <w:u w:val="single"/>
          </w:rPr>
          <w:t xml:space="preserve">American Association of Law </w:t>
        </w:r>
        <w:proofErr w:type="spellStart"/>
        <w:r w:rsidRPr="00363921">
          <w:rPr>
            <w:color w:val="0000FF" w:themeColor="hyperlink"/>
            <w:sz w:val="20"/>
            <w:szCs w:val="20"/>
            <w:u w:val="single"/>
          </w:rPr>
          <w:t>libraries</w:t>
        </w:r>
        <w:proofErr w:type="spellEnd"/>
        <w:r w:rsidRPr="00363921">
          <w:rPr>
            <w:color w:val="0000FF" w:themeColor="hyperlink"/>
            <w:sz w:val="20"/>
            <w:szCs w:val="20"/>
            <w:u w:val="single"/>
          </w:rPr>
          <w:t>.</w:t>
        </w:r>
      </w:hyperlink>
      <w:r w:rsidRPr="00363921">
        <w:rPr>
          <w:sz w:val="20"/>
          <w:szCs w:val="20"/>
        </w:rPr>
        <w:t xml:space="preserve"> </w:t>
      </w:r>
    </w:p>
    <w:p w:rsidR="00363921" w:rsidRPr="00363921" w:rsidRDefault="00363921" w:rsidP="00363921">
      <w:pPr>
        <w:rPr>
          <w:sz w:val="20"/>
          <w:szCs w:val="20"/>
        </w:rPr>
      </w:pPr>
      <w:r w:rsidRPr="00363921">
        <w:rPr>
          <w:sz w:val="20"/>
          <w:szCs w:val="20"/>
        </w:rPr>
        <w:t xml:space="preserve">Cet excellent diner fut une occasion de rencontrer les membres  très accueillants de la BIALL et d’échanger sur les associations de  documentation juridique de façon informelle. </w:t>
      </w:r>
    </w:p>
    <w:p w:rsidR="00363921" w:rsidRPr="00363921" w:rsidRDefault="00363921" w:rsidP="00363921">
      <w:pPr>
        <w:rPr>
          <w:sz w:val="20"/>
          <w:szCs w:val="20"/>
          <w:u w:val="single"/>
        </w:rPr>
      </w:pPr>
      <w:r w:rsidRPr="00363921">
        <w:rPr>
          <w:b/>
          <w:sz w:val="20"/>
          <w:szCs w:val="20"/>
          <w:u w:val="single"/>
        </w:rPr>
        <w:t>Karen Palmer</w:t>
      </w:r>
      <w:r w:rsidRPr="00363921">
        <w:rPr>
          <w:sz w:val="20"/>
          <w:szCs w:val="20"/>
        </w:rPr>
        <w:t xml:space="preserve"> présidente de l’association durant l’année 2016 a assuré la présidence de la conférence et présenté la personne qui lui succède : </w:t>
      </w:r>
      <w:hyperlink r:id="rId12" w:tgtFrame="_blank" w:history="1">
        <w:r w:rsidRPr="00363921">
          <w:rPr>
            <w:sz w:val="20"/>
            <w:szCs w:val="20"/>
            <w:u w:val="single"/>
          </w:rPr>
          <w:t xml:space="preserve">Sandra </w:t>
        </w:r>
        <w:proofErr w:type="spellStart"/>
        <w:r w:rsidRPr="00363921">
          <w:rPr>
            <w:sz w:val="20"/>
            <w:szCs w:val="20"/>
            <w:u w:val="single"/>
          </w:rPr>
          <w:t>Smythe</w:t>
        </w:r>
        <w:proofErr w:type="spellEnd"/>
      </w:hyperlink>
    </w:p>
    <w:p w:rsidR="00363921" w:rsidRPr="00363921" w:rsidRDefault="00363921" w:rsidP="00363921">
      <w:pPr>
        <w:rPr>
          <w:sz w:val="20"/>
          <w:szCs w:val="20"/>
        </w:rPr>
      </w:pPr>
      <w:hyperlink r:id="rId13" w:history="1">
        <w:r w:rsidRPr="00363921">
          <w:rPr>
            <w:color w:val="0000FF" w:themeColor="hyperlink"/>
            <w:sz w:val="20"/>
            <w:szCs w:val="20"/>
            <w:u w:val="single"/>
          </w:rPr>
          <w:t>Composition actuelle du Comité</w:t>
        </w:r>
      </w:hyperlink>
      <w:r w:rsidRPr="00363921">
        <w:rPr>
          <w:sz w:val="20"/>
          <w:szCs w:val="20"/>
          <w:u w:val="single"/>
        </w:rPr>
        <w:t xml:space="preserve"> </w:t>
      </w:r>
    </w:p>
    <w:p w:rsidR="00363921" w:rsidRPr="00363921" w:rsidRDefault="00363921" w:rsidP="00363921">
      <w:pPr>
        <w:rPr>
          <w:b/>
          <w:color w:val="548DD4" w:themeColor="text2" w:themeTint="99"/>
          <w:sz w:val="20"/>
          <w:szCs w:val="20"/>
          <w:u w:val="single"/>
        </w:rPr>
      </w:pPr>
      <w:r w:rsidRPr="00363921">
        <w:rPr>
          <w:b/>
          <w:color w:val="548DD4" w:themeColor="text2" w:themeTint="99"/>
          <w:sz w:val="20"/>
          <w:szCs w:val="20"/>
          <w:u w:val="single"/>
        </w:rPr>
        <w:t>La conférence </w:t>
      </w:r>
    </w:p>
    <w:p w:rsidR="00363921" w:rsidRPr="00363921" w:rsidRDefault="00363921" w:rsidP="00363921">
      <w:pPr>
        <w:rPr>
          <w:sz w:val="20"/>
          <w:szCs w:val="20"/>
        </w:rPr>
      </w:pPr>
      <w:r w:rsidRPr="00363921">
        <w:rPr>
          <w:sz w:val="20"/>
          <w:szCs w:val="20"/>
        </w:rPr>
        <w:t xml:space="preserve">L’organisation de la  conférence est classique : séances plénières ; sessions parallèles ; « Lightning </w:t>
      </w:r>
      <w:proofErr w:type="spellStart"/>
      <w:r w:rsidRPr="00363921">
        <w:rPr>
          <w:sz w:val="20"/>
          <w:szCs w:val="20"/>
        </w:rPr>
        <w:t>talks</w:t>
      </w:r>
      <w:proofErr w:type="spellEnd"/>
      <w:r w:rsidRPr="00363921">
        <w:rPr>
          <w:sz w:val="20"/>
          <w:szCs w:val="20"/>
        </w:rPr>
        <w:t xml:space="preserve"> » : 10 minutes chrono (et tenus), salon professionnel et évènements sociaux. </w:t>
      </w:r>
    </w:p>
    <w:p w:rsidR="00363921" w:rsidRPr="00363921" w:rsidRDefault="00363921" w:rsidP="00363921">
      <w:pPr>
        <w:rPr>
          <w:b/>
          <w:color w:val="0070C0"/>
          <w:sz w:val="20"/>
          <w:szCs w:val="20"/>
        </w:rPr>
      </w:pPr>
      <w:hyperlink r:id="rId14" w:history="1">
        <w:r w:rsidRPr="00363921">
          <w:rPr>
            <w:b/>
            <w:color w:val="0000FF" w:themeColor="hyperlink"/>
            <w:sz w:val="20"/>
            <w:szCs w:val="20"/>
            <w:u w:val="single"/>
          </w:rPr>
          <w:t>Lien vers le programme</w:t>
        </w:r>
      </w:hyperlink>
      <w:r w:rsidRPr="00363921">
        <w:rPr>
          <w:b/>
          <w:color w:val="0070C0"/>
          <w:sz w:val="20"/>
          <w:szCs w:val="20"/>
        </w:rPr>
        <w:t xml:space="preserve"> </w:t>
      </w:r>
    </w:p>
    <w:p w:rsidR="00363921" w:rsidRPr="00363921" w:rsidRDefault="00363921" w:rsidP="00363921">
      <w:pPr>
        <w:rPr>
          <w:b/>
          <w:color w:val="0070C0"/>
          <w:sz w:val="20"/>
          <w:szCs w:val="20"/>
        </w:rPr>
      </w:pPr>
      <w:hyperlink r:id="rId15" w:history="1">
        <w:r w:rsidRPr="00363921">
          <w:rPr>
            <w:b/>
            <w:color w:val="0000FF" w:themeColor="hyperlink"/>
            <w:sz w:val="20"/>
            <w:szCs w:val="20"/>
            <w:u w:val="single"/>
          </w:rPr>
          <w:t>Lien vers les présentations</w:t>
        </w:r>
      </w:hyperlink>
    </w:p>
    <w:p w:rsidR="00363921" w:rsidRPr="00363921" w:rsidRDefault="00363921" w:rsidP="00363921">
      <w:pPr>
        <w:rPr>
          <w:sz w:val="20"/>
          <w:szCs w:val="20"/>
        </w:rPr>
      </w:pPr>
      <w:r w:rsidRPr="00363921">
        <w:rPr>
          <w:sz w:val="20"/>
          <w:szCs w:val="20"/>
        </w:rPr>
        <w:t xml:space="preserve">Voici quelques notes concernant  des interventions  qui m’ont semblé les plus pertinentes parmi celles auxquelles j’ai participé. </w:t>
      </w:r>
    </w:p>
    <w:p w:rsidR="00363921" w:rsidRPr="00363921" w:rsidRDefault="00363921" w:rsidP="00363921">
      <w:pPr>
        <w:rPr>
          <w:sz w:val="20"/>
          <w:szCs w:val="20"/>
        </w:rPr>
      </w:pPr>
      <w:r w:rsidRPr="00363921">
        <w:rPr>
          <w:sz w:val="20"/>
          <w:szCs w:val="20"/>
        </w:rPr>
        <w:t xml:space="preserve">Le thème 2016 était celui du changement « La valeur du changement », donc de nombreuses interventions ont suivi ce fil directeur.  </w:t>
      </w:r>
    </w:p>
    <w:p w:rsidR="00363921" w:rsidRPr="00363921" w:rsidRDefault="00363921" w:rsidP="00363921">
      <w:pPr>
        <w:rPr>
          <w:sz w:val="20"/>
          <w:szCs w:val="20"/>
        </w:rPr>
      </w:pPr>
      <w:r w:rsidRPr="00363921">
        <w:rPr>
          <w:sz w:val="20"/>
          <w:szCs w:val="20"/>
        </w:rPr>
        <w:t xml:space="preserve">Les interrogations britanniques  rejoignent celles des professionnels français, sans nécessairement apporter plus de réponses. </w:t>
      </w:r>
    </w:p>
    <w:p w:rsidR="00363921" w:rsidRPr="00363921" w:rsidRDefault="00363921" w:rsidP="00363921">
      <w:pPr>
        <w:rPr>
          <w:b/>
          <w:color w:val="548DD4" w:themeColor="text2" w:themeTint="99"/>
          <w:sz w:val="20"/>
          <w:szCs w:val="20"/>
          <w:u w:val="single"/>
        </w:rPr>
      </w:pPr>
      <w:proofErr w:type="spellStart"/>
      <w:r w:rsidRPr="00363921">
        <w:rPr>
          <w:b/>
          <w:color w:val="548DD4" w:themeColor="text2" w:themeTint="99"/>
          <w:sz w:val="20"/>
          <w:szCs w:val="20"/>
          <w:u w:val="single"/>
        </w:rPr>
        <w:t>Knowledge</w:t>
      </w:r>
      <w:proofErr w:type="spellEnd"/>
      <w:r w:rsidRPr="00363921">
        <w:rPr>
          <w:b/>
          <w:color w:val="548DD4" w:themeColor="text2" w:themeTint="99"/>
          <w:sz w:val="20"/>
          <w:szCs w:val="20"/>
          <w:u w:val="single"/>
        </w:rPr>
        <w:t xml:space="preserve"> Management</w:t>
      </w:r>
    </w:p>
    <w:p w:rsidR="00363921" w:rsidRPr="00363921" w:rsidRDefault="00363921" w:rsidP="00363921">
      <w:pPr>
        <w:ind w:left="720"/>
        <w:contextualSpacing/>
        <w:rPr>
          <w:sz w:val="20"/>
          <w:szCs w:val="20"/>
        </w:rPr>
      </w:pPr>
      <w:r w:rsidRPr="00363921">
        <w:rPr>
          <w:sz w:val="20"/>
          <w:szCs w:val="20"/>
        </w:rPr>
        <w:t xml:space="preserve">BIALL a constitué un  « groupe d’intérêt spécial » sur le  </w:t>
      </w:r>
      <w:proofErr w:type="spellStart"/>
      <w:r w:rsidRPr="00363921">
        <w:rPr>
          <w:sz w:val="20"/>
          <w:szCs w:val="20"/>
        </w:rPr>
        <w:t>Knowledge</w:t>
      </w:r>
      <w:proofErr w:type="spellEnd"/>
      <w:r w:rsidRPr="00363921">
        <w:rPr>
          <w:sz w:val="20"/>
          <w:szCs w:val="20"/>
        </w:rPr>
        <w:t xml:space="preserve"> Management </w:t>
      </w:r>
    </w:p>
    <w:p w:rsidR="00363921" w:rsidRPr="00363921" w:rsidRDefault="00363921" w:rsidP="00363921">
      <w:pPr>
        <w:numPr>
          <w:ilvl w:val="0"/>
          <w:numId w:val="1"/>
        </w:numPr>
        <w:contextualSpacing/>
        <w:rPr>
          <w:sz w:val="20"/>
          <w:szCs w:val="20"/>
        </w:rPr>
      </w:pPr>
      <w:r w:rsidRPr="00363921">
        <w:rPr>
          <w:sz w:val="20"/>
          <w:szCs w:val="20"/>
        </w:rPr>
        <w:t xml:space="preserve">Les thèmes abordés ont été : le KM ; l’évolution du métier ; </w:t>
      </w:r>
      <w:proofErr w:type="spellStart"/>
      <w:r w:rsidRPr="00363921">
        <w:rPr>
          <w:sz w:val="20"/>
          <w:szCs w:val="20"/>
        </w:rPr>
        <w:t>legal</w:t>
      </w:r>
      <w:proofErr w:type="spellEnd"/>
      <w:r w:rsidRPr="00363921">
        <w:rPr>
          <w:sz w:val="20"/>
          <w:szCs w:val="20"/>
        </w:rPr>
        <w:t xml:space="preserve"> </w:t>
      </w:r>
      <w:proofErr w:type="spellStart"/>
      <w:r w:rsidRPr="00363921">
        <w:rPr>
          <w:sz w:val="20"/>
          <w:szCs w:val="20"/>
        </w:rPr>
        <w:t>tech</w:t>
      </w:r>
      <w:proofErr w:type="spellEnd"/>
      <w:r w:rsidRPr="00363921">
        <w:rPr>
          <w:sz w:val="20"/>
          <w:szCs w:val="20"/>
        </w:rPr>
        <w:t xml:space="preserve">// informaticiens ; le positionnement dans les structures ; les relations avec les autres services et l’évolution possible de ces relations. La question du nom de professionnel retenu (divers intervenants) et l’évolution du métier Ceci fait fortement écho à des préoccupations du secteur des documentalistes juridiques qui ne souhaitent plus conserver ce nom mais n’arrivent pas à retenir un vocable satisfaisant. Les 3 associations : britannique, canadienne et américaine ont eu des débats agités  récemment sur la question du changement ou de l’évolution du  nom de l’association. BIALL a, cette année ajouté un développement au sigle initial qui demeure </w:t>
      </w:r>
      <w:r w:rsidRPr="00363921">
        <w:rPr>
          <w:i/>
          <w:sz w:val="20"/>
          <w:szCs w:val="20"/>
        </w:rPr>
        <w:t>« </w:t>
      </w:r>
      <w:proofErr w:type="spellStart"/>
      <w:r w:rsidRPr="00363921">
        <w:rPr>
          <w:i/>
          <w:sz w:val="20"/>
          <w:szCs w:val="20"/>
        </w:rPr>
        <w:t>Connecting</w:t>
      </w:r>
      <w:proofErr w:type="spellEnd"/>
      <w:r w:rsidRPr="00363921">
        <w:rPr>
          <w:i/>
          <w:sz w:val="20"/>
          <w:szCs w:val="20"/>
        </w:rPr>
        <w:t xml:space="preserve"> </w:t>
      </w:r>
      <w:proofErr w:type="spellStart"/>
      <w:r w:rsidRPr="00363921">
        <w:rPr>
          <w:i/>
          <w:sz w:val="20"/>
          <w:szCs w:val="20"/>
        </w:rPr>
        <w:t>legal</w:t>
      </w:r>
      <w:proofErr w:type="spellEnd"/>
      <w:r w:rsidRPr="00363921">
        <w:rPr>
          <w:i/>
          <w:sz w:val="20"/>
          <w:szCs w:val="20"/>
        </w:rPr>
        <w:t xml:space="preserve"> information </w:t>
      </w:r>
      <w:proofErr w:type="spellStart"/>
      <w:r w:rsidRPr="00363921">
        <w:rPr>
          <w:i/>
          <w:sz w:val="20"/>
          <w:szCs w:val="20"/>
        </w:rPr>
        <w:t>professionals</w:t>
      </w:r>
      <w:proofErr w:type="spellEnd"/>
      <w:r w:rsidRPr="00363921">
        <w:rPr>
          <w:i/>
          <w:sz w:val="20"/>
          <w:szCs w:val="20"/>
        </w:rPr>
        <w:t xml:space="preserve"> », </w:t>
      </w:r>
      <w:r w:rsidRPr="00363921">
        <w:rPr>
          <w:sz w:val="20"/>
          <w:szCs w:val="20"/>
        </w:rPr>
        <w:t xml:space="preserve">tandis que les canadiens ont choisi de préciser </w:t>
      </w:r>
      <w:r w:rsidRPr="00363921">
        <w:rPr>
          <w:i/>
          <w:sz w:val="20"/>
          <w:szCs w:val="20"/>
        </w:rPr>
        <w:t>« perfectionnement et soutien des spécialistes de l’information  juridique</w:t>
      </w:r>
      <w:r w:rsidRPr="00363921">
        <w:rPr>
          <w:sz w:val="20"/>
          <w:szCs w:val="20"/>
        </w:rPr>
        <w:t> »</w:t>
      </w:r>
    </w:p>
    <w:p w:rsidR="00363921" w:rsidRPr="00363921" w:rsidRDefault="00363921" w:rsidP="00363921">
      <w:pPr>
        <w:numPr>
          <w:ilvl w:val="0"/>
          <w:numId w:val="1"/>
        </w:numPr>
        <w:contextualSpacing/>
        <w:rPr>
          <w:sz w:val="20"/>
          <w:szCs w:val="20"/>
        </w:rPr>
      </w:pPr>
      <w:r w:rsidRPr="00363921">
        <w:rPr>
          <w:sz w:val="20"/>
          <w:szCs w:val="20"/>
        </w:rPr>
        <w:t xml:space="preserve"> L’autre thème qui est revenu à de multiples reprises est  celui de la gestion de projet. Connaissance et technologie sont centrales et les  bibliothèques peuvent faire la jonction. Passage du rôle de gardien de l’information  à celui de fournisseur </w:t>
      </w:r>
      <w:proofErr w:type="spellStart"/>
      <w:r w:rsidRPr="00363921">
        <w:rPr>
          <w:sz w:val="20"/>
          <w:szCs w:val="20"/>
        </w:rPr>
        <w:t>pro-actif</w:t>
      </w:r>
      <w:proofErr w:type="spellEnd"/>
      <w:r w:rsidRPr="00363921">
        <w:rPr>
          <w:sz w:val="20"/>
          <w:szCs w:val="20"/>
        </w:rPr>
        <w:t xml:space="preserve"> et chercheur d’information. De plus en plus, cette information dépasse l’information purement juridique pour s’ouvrir vers l’économie et le business.</w:t>
      </w:r>
    </w:p>
    <w:p w:rsidR="00363921" w:rsidRPr="00363921" w:rsidRDefault="00363921" w:rsidP="00363921">
      <w:pPr>
        <w:ind w:left="720"/>
        <w:contextualSpacing/>
        <w:rPr>
          <w:sz w:val="20"/>
          <w:szCs w:val="20"/>
        </w:rPr>
      </w:pPr>
      <w:r w:rsidRPr="00363921">
        <w:rPr>
          <w:sz w:val="20"/>
          <w:szCs w:val="20"/>
        </w:rPr>
        <w:t xml:space="preserve">Un nombre important  de professionnels de cabinets d’affaires étaient d’ailleurs présents. </w:t>
      </w:r>
    </w:p>
    <w:p w:rsidR="00363921" w:rsidRPr="00363921" w:rsidRDefault="00363921" w:rsidP="00363921">
      <w:pPr>
        <w:ind w:left="720"/>
        <w:contextualSpacing/>
        <w:rPr>
          <w:sz w:val="20"/>
          <w:szCs w:val="20"/>
        </w:rPr>
      </w:pPr>
      <w:r w:rsidRPr="00363921">
        <w:rPr>
          <w:sz w:val="20"/>
          <w:szCs w:val="20"/>
        </w:rPr>
        <w:t xml:space="preserve">On observe l’importance de la transposition des compétences et de l’expertise de bibliothécaire de référence ainsi que  d’intégrer toutes les connaissances juridiques des avocats. </w:t>
      </w:r>
    </w:p>
    <w:p w:rsidR="00363921" w:rsidRPr="00363921" w:rsidRDefault="00363921" w:rsidP="00363921">
      <w:pPr>
        <w:ind w:left="720"/>
        <w:contextualSpacing/>
        <w:rPr>
          <w:sz w:val="20"/>
          <w:szCs w:val="20"/>
        </w:rPr>
      </w:pPr>
    </w:p>
    <w:p w:rsidR="00363921" w:rsidRPr="00363921" w:rsidRDefault="00363921" w:rsidP="00363921">
      <w:pPr>
        <w:numPr>
          <w:ilvl w:val="0"/>
          <w:numId w:val="2"/>
        </w:numPr>
        <w:contextualSpacing/>
        <w:rPr>
          <w:sz w:val="20"/>
          <w:szCs w:val="20"/>
        </w:rPr>
      </w:pPr>
      <w:r w:rsidRPr="00363921">
        <w:rPr>
          <w:sz w:val="20"/>
          <w:szCs w:val="20"/>
        </w:rPr>
        <w:t xml:space="preserve">Amanda Mc </w:t>
      </w:r>
      <w:proofErr w:type="spellStart"/>
      <w:r w:rsidRPr="00363921">
        <w:rPr>
          <w:sz w:val="20"/>
          <w:szCs w:val="20"/>
        </w:rPr>
        <w:t>Kenzie</w:t>
      </w:r>
      <w:proofErr w:type="spellEnd"/>
      <w:r w:rsidRPr="00363921">
        <w:rPr>
          <w:sz w:val="20"/>
          <w:szCs w:val="20"/>
        </w:rPr>
        <w:t xml:space="preserve">, </w:t>
      </w:r>
      <w:proofErr w:type="spellStart"/>
      <w:r w:rsidRPr="00363921">
        <w:rPr>
          <w:sz w:val="20"/>
          <w:szCs w:val="20"/>
        </w:rPr>
        <w:t>Olswang</w:t>
      </w:r>
      <w:proofErr w:type="spellEnd"/>
      <w:r w:rsidRPr="00363921">
        <w:rPr>
          <w:sz w:val="20"/>
          <w:szCs w:val="20"/>
        </w:rPr>
        <w:t xml:space="preserve"> LLP; Alex </w:t>
      </w:r>
      <w:proofErr w:type="gramStart"/>
      <w:r w:rsidRPr="00363921">
        <w:rPr>
          <w:sz w:val="20"/>
          <w:szCs w:val="20"/>
        </w:rPr>
        <w:t>Smith ,</w:t>
      </w:r>
      <w:proofErr w:type="gramEnd"/>
      <w:r w:rsidRPr="00363921">
        <w:rPr>
          <w:sz w:val="20"/>
          <w:szCs w:val="20"/>
        </w:rPr>
        <w:t xml:space="preserve"> Lexis-</w:t>
      </w:r>
      <w:proofErr w:type="spellStart"/>
      <w:r w:rsidRPr="00363921">
        <w:rPr>
          <w:sz w:val="20"/>
          <w:szCs w:val="20"/>
        </w:rPr>
        <w:t>Nexis</w:t>
      </w:r>
      <w:proofErr w:type="spellEnd"/>
      <w:r w:rsidRPr="00363921">
        <w:rPr>
          <w:sz w:val="20"/>
          <w:szCs w:val="20"/>
        </w:rPr>
        <w:t xml:space="preserve">, innovation, insistent sur le changement dans la technologie du </w:t>
      </w:r>
      <w:proofErr w:type="spellStart"/>
      <w:r w:rsidRPr="00363921">
        <w:rPr>
          <w:sz w:val="20"/>
          <w:szCs w:val="20"/>
        </w:rPr>
        <w:t>big</w:t>
      </w:r>
      <w:proofErr w:type="spellEnd"/>
      <w:r w:rsidRPr="00363921">
        <w:rPr>
          <w:sz w:val="20"/>
          <w:szCs w:val="20"/>
        </w:rPr>
        <w:t xml:space="preserve"> data: évolution des compétences et rôles. Mark West, </w:t>
      </w:r>
      <w:proofErr w:type="spellStart"/>
      <w:r w:rsidRPr="00363921">
        <w:rPr>
          <w:sz w:val="20"/>
          <w:szCs w:val="20"/>
        </w:rPr>
        <w:t>Integreon</w:t>
      </w:r>
      <w:proofErr w:type="spellEnd"/>
      <w:r w:rsidRPr="00363921">
        <w:rPr>
          <w:sz w:val="20"/>
          <w:szCs w:val="20"/>
        </w:rPr>
        <w:t xml:space="preserve"> souligne l’organisation et les  changements de rôles et missions mais également  le  passage d’un rôle à l’autre (transposition) en raison des connaissances/compétences de chacun. </w:t>
      </w:r>
    </w:p>
    <w:p w:rsidR="00363921" w:rsidRPr="00363921" w:rsidRDefault="00363921" w:rsidP="00363921">
      <w:pPr>
        <w:ind w:left="720"/>
        <w:contextualSpacing/>
        <w:rPr>
          <w:sz w:val="20"/>
          <w:szCs w:val="20"/>
        </w:rPr>
      </w:pPr>
    </w:p>
    <w:p w:rsidR="00363921" w:rsidRPr="00363921" w:rsidRDefault="00363921" w:rsidP="00363921">
      <w:pPr>
        <w:ind w:left="720"/>
        <w:contextualSpacing/>
        <w:rPr>
          <w:b/>
          <w:color w:val="548DD4" w:themeColor="text2" w:themeTint="99"/>
          <w:sz w:val="20"/>
          <w:szCs w:val="20"/>
          <w:u w:val="single"/>
        </w:rPr>
      </w:pPr>
      <w:r w:rsidRPr="00363921">
        <w:rPr>
          <w:b/>
          <w:color w:val="548DD4" w:themeColor="text2" w:themeTint="99"/>
          <w:sz w:val="20"/>
          <w:szCs w:val="20"/>
          <w:u w:val="single"/>
        </w:rPr>
        <w:t>Bibliothèques universitaires</w:t>
      </w:r>
    </w:p>
    <w:p w:rsidR="00363921" w:rsidRPr="00363921" w:rsidRDefault="00363921" w:rsidP="00363921">
      <w:pPr>
        <w:ind w:left="720"/>
        <w:contextualSpacing/>
        <w:rPr>
          <w:b/>
          <w:color w:val="548DD4" w:themeColor="text2" w:themeTint="99"/>
          <w:sz w:val="20"/>
          <w:szCs w:val="20"/>
          <w:u w:val="single"/>
        </w:rPr>
      </w:pPr>
    </w:p>
    <w:p w:rsidR="00363921" w:rsidRPr="00363921" w:rsidRDefault="00363921" w:rsidP="00363921">
      <w:pPr>
        <w:numPr>
          <w:ilvl w:val="0"/>
          <w:numId w:val="2"/>
        </w:numPr>
        <w:contextualSpacing/>
        <w:rPr>
          <w:sz w:val="20"/>
          <w:szCs w:val="20"/>
        </w:rPr>
      </w:pPr>
      <w:r w:rsidRPr="00363921">
        <w:rPr>
          <w:sz w:val="20"/>
          <w:szCs w:val="20"/>
        </w:rPr>
        <w:t>Lisa Anderson, Université de Birmingham  a présenté une communication intitulée : </w:t>
      </w:r>
      <w:r w:rsidRPr="00363921">
        <w:rPr>
          <w:bCs/>
          <w:i/>
          <w:sz w:val="20"/>
          <w:szCs w:val="20"/>
        </w:rPr>
        <w:t xml:space="preserve">Digital </w:t>
      </w:r>
      <w:proofErr w:type="spellStart"/>
      <w:r w:rsidRPr="00363921">
        <w:rPr>
          <w:bCs/>
          <w:i/>
          <w:sz w:val="20"/>
          <w:szCs w:val="20"/>
        </w:rPr>
        <w:t>literacy</w:t>
      </w:r>
      <w:proofErr w:type="spellEnd"/>
      <w:r w:rsidRPr="00363921">
        <w:rPr>
          <w:bCs/>
          <w:i/>
          <w:sz w:val="20"/>
          <w:szCs w:val="20"/>
        </w:rPr>
        <w:t xml:space="preserve"> </w:t>
      </w:r>
      <w:proofErr w:type="spellStart"/>
      <w:r w:rsidRPr="00363921">
        <w:rPr>
          <w:bCs/>
          <w:i/>
          <w:sz w:val="20"/>
          <w:szCs w:val="20"/>
        </w:rPr>
        <w:t>skills</w:t>
      </w:r>
      <w:proofErr w:type="spellEnd"/>
      <w:r w:rsidRPr="00363921">
        <w:rPr>
          <w:bCs/>
          <w:i/>
          <w:sz w:val="20"/>
          <w:szCs w:val="20"/>
        </w:rPr>
        <w:t xml:space="preserve"> of </w:t>
      </w:r>
      <w:proofErr w:type="spellStart"/>
      <w:r w:rsidRPr="00363921">
        <w:rPr>
          <w:bCs/>
          <w:i/>
          <w:sz w:val="20"/>
          <w:szCs w:val="20"/>
        </w:rPr>
        <w:t>law</w:t>
      </w:r>
      <w:proofErr w:type="spellEnd"/>
      <w:r w:rsidRPr="00363921">
        <w:rPr>
          <w:bCs/>
          <w:i/>
          <w:sz w:val="20"/>
          <w:szCs w:val="20"/>
        </w:rPr>
        <w:t xml:space="preserve"> </w:t>
      </w:r>
      <w:proofErr w:type="spellStart"/>
      <w:r w:rsidRPr="00363921">
        <w:rPr>
          <w:bCs/>
          <w:i/>
          <w:sz w:val="20"/>
          <w:szCs w:val="20"/>
        </w:rPr>
        <w:t>students</w:t>
      </w:r>
      <w:proofErr w:type="spellEnd"/>
      <w:r w:rsidRPr="00363921">
        <w:rPr>
          <w:bCs/>
          <w:sz w:val="20"/>
          <w:szCs w:val="20"/>
        </w:rPr>
        <w:t>.</w:t>
      </w:r>
      <w:r w:rsidRPr="00363921">
        <w:rPr>
          <w:sz w:val="20"/>
          <w:szCs w:val="20"/>
        </w:rPr>
        <w:t xml:space="preserve"> Elle a commenté  une enquête sur les compétences numériques des étudiants.  L’enquête porte sur les connaissances et l’usage du numérique d’étudiants de Birmingham Law </w:t>
      </w:r>
      <w:proofErr w:type="spellStart"/>
      <w:r w:rsidRPr="00363921">
        <w:rPr>
          <w:sz w:val="20"/>
          <w:szCs w:val="20"/>
        </w:rPr>
        <w:t>School</w:t>
      </w:r>
      <w:proofErr w:type="spellEnd"/>
      <w:r w:rsidRPr="00363921">
        <w:rPr>
          <w:sz w:val="20"/>
          <w:szCs w:val="20"/>
        </w:rPr>
        <w:t xml:space="preserve"> (environ 400 étudiants par année) à différents stades de leurs études.  Certains points sont intéressants. On note par exemple des compétences et une prise de distance accrue en lien avec l’avancement dans les études. De même, la montée en puissance de certains réseaux sociaux </w:t>
      </w:r>
      <w:proofErr w:type="spellStart"/>
      <w:r w:rsidRPr="00363921">
        <w:rPr>
          <w:sz w:val="20"/>
          <w:szCs w:val="20"/>
        </w:rPr>
        <w:t>commeTtwitter</w:t>
      </w:r>
      <w:proofErr w:type="spellEnd"/>
      <w:r w:rsidRPr="00363921">
        <w:rPr>
          <w:sz w:val="20"/>
          <w:szCs w:val="20"/>
        </w:rPr>
        <w:t xml:space="preserve"> et </w:t>
      </w:r>
      <w:proofErr w:type="gramStart"/>
      <w:r w:rsidRPr="00363921">
        <w:rPr>
          <w:sz w:val="20"/>
          <w:szCs w:val="20"/>
        </w:rPr>
        <w:t>WhatsApp .</w:t>
      </w:r>
      <w:proofErr w:type="gramEnd"/>
      <w:r w:rsidRPr="00363921">
        <w:rPr>
          <w:sz w:val="20"/>
          <w:szCs w:val="20"/>
        </w:rPr>
        <w:t xml:space="preserve"> </w:t>
      </w:r>
    </w:p>
    <w:p w:rsidR="00363921" w:rsidRPr="00363921" w:rsidRDefault="00363921" w:rsidP="00363921">
      <w:pPr>
        <w:ind w:left="720"/>
        <w:contextualSpacing/>
        <w:rPr>
          <w:sz w:val="20"/>
          <w:szCs w:val="20"/>
        </w:rPr>
      </w:pPr>
      <w:proofErr w:type="spellStart"/>
      <w:r w:rsidRPr="00363921">
        <w:rPr>
          <w:sz w:val="20"/>
          <w:szCs w:val="20"/>
        </w:rPr>
        <w:t>Youtube</w:t>
      </w:r>
      <w:proofErr w:type="spellEnd"/>
      <w:r w:rsidRPr="00363921">
        <w:rPr>
          <w:sz w:val="20"/>
          <w:szCs w:val="20"/>
        </w:rPr>
        <w:t xml:space="preserve"> figure en n° 1 en tant qu’outil vidéo d’éducation dans la population étudiée. </w:t>
      </w:r>
    </w:p>
    <w:p w:rsidR="00363921" w:rsidRPr="00363921" w:rsidRDefault="00363921" w:rsidP="00363921">
      <w:pPr>
        <w:ind w:left="720"/>
        <w:contextualSpacing/>
        <w:rPr>
          <w:sz w:val="20"/>
          <w:szCs w:val="20"/>
        </w:rPr>
      </w:pPr>
      <w:r w:rsidRPr="00363921">
        <w:rPr>
          <w:sz w:val="20"/>
          <w:szCs w:val="20"/>
        </w:rPr>
        <w:t xml:space="preserve">Lisa Anderson a écrit un certain nombre d’articles sur l’Information </w:t>
      </w:r>
      <w:proofErr w:type="spellStart"/>
      <w:r w:rsidRPr="00363921">
        <w:rPr>
          <w:sz w:val="20"/>
          <w:szCs w:val="20"/>
        </w:rPr>
        <w:t>literacy</w:t>
      </w:r>
      <w:proofErr w:type="spellEnd"/>
      <w:r w:rsidRPr="00363921">
        <w:rPr>
          <w:sz w:val="20"/>
          <w:szCs w:val="20"/>
        </w:rPr>
        <w:t xml:space="preserve"> et Digital   </w:t>
      </w:r>
      <w:proofErr w:type="spellStart"/>
      <w:r w:rsidRPr="00363921">
        <w:rPr>
          <w:sz w:val="20"/>
          <w:szCs w:val="20"/>
        </w:rPr>
        <w:t>literacy</w:t>
      </w:r>
      <w:proofErr w:type="spellEnd"/>
    </w:p>
    <w:p w:rsidR="00363921" w:rsidRPr="00363921" w:rsidRDefault="00363921" w:rsidP="00363921">
      <w:pPr>
        <w:ind w:left="720"/>
        <w:contextualSpacing/>
        <w:rPr>
          <w:sz w:val="20"/>
          <w:szCs w:val="20"/>
        </w:rPr>
      </w:pPr>
      <w:r w:rsidRPr="00363921">
        <w:rPr>
          <w:sz w:val="20"/>
          <w:szCs w:val="20"/>
        </w:rPr>
        <w:lastRenderedPageBreak/>
        <w:t xml:space="preserve">Différents documents de référence  ont été cités par Madame Anderson, notamment  un guide du JISC, </w:t>
      </w:r>
      <w:hyperlink r:id="rId16" w:history="1">
        <w:proofErr w:type="spellStart"/>
        <w:r w:rsidRPr="00363921">
          <w:rPr>
            <w:color w:val="0000FF" w:themeColor="hyperlink"/>
            <w:sz w:val="20"/>
            <w:szCs w:val="20"/>
            <w:u w:val="single"/>
          </w:rPr>
          <w:t>Developping</w:t>
        </w:r>
        <w:proofErr w:type="spellEnd"/>
        <w:r w:rsidRPr="00363921">
          <w:rPr>
            <w:color w:val="0000FF" w:themeColor="hyperlink"/>
            <w:sz w:val="20"/>
            <w:szCs w:val="20"/>
            <w:u w:val="single"/>
          </w:rPr>
          <w:t xml:space="preserve"> </w:t>
        </w:r>
        <w:proofErr w:type="spellStart"/>
        <w:r w:rsidRPr="00363921">
          <w:rPr>
            <w:color w:val="0000FF" w:themeColor="hyperlink"/>
            <w:sz w:val="20"/>
            <w:szCs w:val="20"/>
            <w:u w:val="single"/>
          </w:rPr>
          <w:t>students</w:t>
        </w:r>
        <w:proofErr w:type="spellEnd"/>
        <w:r w:rsidRPr="00363921">
          <w:rPr>
            <w:color w:val="0000FF" w:themeColor="hyperlink"/>
            <w:sz w:val="20"/>
            <w:szCs w:val="20"/>
            <w:u w:val="single"/>
          </w:rPr>
          <w:t xml:space="preserve"> digital </w:t>
        </w:r>
        <w:proofErr w:type="spellStart"/>
        <w:r w:rsidRPr="00363921">
          <w:rPr>
            <w:color w:val="0000FF" w:themeColor="hyperlink"/>
            <w:sz w:val="20"/>
            <w:szCs w:val="20"/>
            <w:u w:val="single"/>
          </w:rPr>
          <w:t>literacy</w:t>
        </w:r>
        <w:proofErr w:type="spellEnd"/>
        <w:r w:rsidRPr="00363921">
          <w:rPr>
            <w:color w:val="0000FF" w:themeColor="hyperlink"/>
            <w:sz w:val="20"/>
            <w:szCs w:val="20"/>
            <w:u w:val="single"/>
          </w:rPr>
          <w:t>.</w:t>
        </w:r>
      </w:hyperlink>
      <w:r w:rsidRPr="00363921">
        <w:rPr>
          <w:sz w:val="20"/>
          <w:szCs w:val="20"/>
        </w:rPr>
        <w:t xml:space="preserve"> </w:t>
      </w:r>
    </w:p>
    <w:p w:rsidR="00363921" w:rsidRPr="00363921" w:rsidRDefault="00363921" w:rsidP="00363921">
      <w:pPr>
        <w:ind w:left="720"/>
        <w:contextualSpacing/>
        <w:rPr>
          <w:sz w:val="20"/>
          <w:szCs w:val="20"/>
        </w:rPr>
      </w:pPr>
      <w:r w:rsidRPr="00363921">
        <w:rPr>
          <w:sz w:val="20"/>
          <w:szCs w:val="20"/>
        </w:rPr>
        <w:t xml:space="preserve">Le document de référence pour l’enquête a été  adapté du site suivant : </w:t>
      </w:r>
      <w:hyperlink r:id="rId17" w:history="1">
        <w:r w:rsidRPr="00363921">
          <w:rPr>
            <w:color w:val="0000FF" w:themeColor="hyperlink"/>
            <w:sz w:val="20"/>
            <w:szCs w:val="20"/>
            <w:u w:val="single"/>
          </w:rPr>
          <w:t xml:space="preserve">Digital and information </w:t>
        </w:r>
        <w:proofErr w:type="spellStart"/>
        <w:r w:rsidRPr="00363921">
          <w:rPr>
            <w:color w:val="0000FF" w:themeColor="hyperlink"/>
            <w:sz w:val="20"/>
            <w:szCs w:val="20"/>
            <w:u w:val="single"/>
          </w:rPr>
          <w:t>literacy</w:t>
        </w:r>
        <w:proofErr w:type="spellEnd"/>
        <w:r w:rsidRPr="00363921">
          <w:rPr>
            <w:color w:val="0000FF" w:themeColor="hyperlink"/>
            <w:sz w:val="20"/>
            <w:szCs w:val="20"/>
            <w:u w:val="single"/>
          </w:rPr>
          <w:t xml:space="preserve"> </w:t>
        </w:r>
        <w:proofErr w:type="spellStart"/>
        <w:r w:rsidRPr="00363921">
          <w:rPr>
            <w:color w:val="0000FF" w:themeColor="hyperlink"/>
            <w:sz w:val="20"/>
            <w:szCs w:val="20"/>
            <w:u w:val="single"/>
          </w:rPr>
          <w:t>framework</w:t>
        </w:r>
        <w:proofErr w:type="spellEnd"/>
      </w:hyperlink>
    </w:p>
    <w:p w:rsidR="00363921" w:rsidRPr="00363921" w:rsidRDefault="00363921" w:rsidP="00363921">
      <w:pPr>
        <w:numPr>
          <w:ilvl w:val="0"/>
          <w:numId w:val="2"/>
        </w:numPr>
        <w:contextualSpacing/>
        <w:rPr>
          <w:sz w:val="20"/>
          <w:szCs w:val="20"/>
        </w:rPr>
      </w:pPr>
      <w:r w:rsidRPr="00363921">
        <w:rPr>
          <w:sz w:val="20"/>
          <w:szCs w:val="20"/>
        </w:rPr>
        <w:t xml:space="preserve">Une autre communication intéressante  du domaine « académique » est celle de  Claire Germain, Université de Floride, Levin </w:t>
      </w:r>
      <w:proofErr w:type="spellStart"/>
      <w:r w:rsidRPr="00363921">
        <w:rPr>
          <w:sz w:val="20"/>
          <w:szCs w:val="20"/>
        </w:rPr>
        <w:t>College</w:t>
      </w:r>
      <w:proofErr w:type="spellEnd"/>
      <w:r w:rsidRPr="00363921">
        <w:rPr>
          <w:sz w:val="20"/>
          <w:szCs w:val="20"/>
        </w:rPr>
        <w:t xml:space="preserve"> of Law. Elle portait sur les services aux chercheurs. </w:t>
      </w:r>
    </w:p>
    <w:p w:rsidR="00363921" w:rsidRPr="00363921" w:rsidRDefault="00363921" w:rsidP="00363921">
      <w:pPr>
        <w:ind w:left="720"/>
        <w:contextualSpacing/>
        <w:rPr>
          <w:color w:val="0000FF" w:themeColor="hyperlink"/>
          <w:sz w:val="20"/>
          <w:szCs w:val="20"/>
          <w:u w:val="single"/>
        </w:rPr>
      </w:pPr>
      <w:r w:rsidRPr="00363921">
        <w:rPr>
          <w:sz w:val="20"/>
          <w:szCs w:val="20"/>
        </w:rPr>
        <w:t xml:space="preserve">Son sujet était celui de l’aide de la bibliothèque aux professeurs pour leurs blogs (Université de Floride- Levin </w:t>
      </w:r>
      <w:proofErr w:type="spellStart"/>
      <w:r w:rsidRPr="00363921">
        <w:rPr>
          <w:sz w:val="20"/>
          <w:szCs w:val="20"/>
        </w:rPr>
        <w:t>College</w:t>
      </w:r>
      <w:proofErr w:type="spellEnd"/>
      <w:r w:rsidRPr="00363921">
        <w:rPr>
          <w:sz w:val="20"/>
          <w:szCs w:val="20"/>
        </w:rPr>
        <w:t xml:space="preserve"> of </w:t>
      </w:r>
      <w:proofErr w:type="gramStart"/>
      <w:r w:rsidRPr="00363921">
        <w:rPr>
          <w:sz w:val="20"/>
          <w:szCs w:val="20"/>
        </w:rPr>
        <w:t>Law )</w:t>
      </w:r>
      <w:proofErr w:type="gramEnd"/>
      <w:r w:rsidRPr="00363921">
        <w:rPr>
          <w:sz w:val="20"/>
          <w:szCs w:val="20"/>
        </w:rPr>
        <w:t xml:space="preserve">. Cette aide permet à la fois de consolider les relations entre la bibliothèque et les chercheurs ainsi que la  promotion institutionnelle des blogs sur le </w:t>
      </w:r>
      <w:hyperlink r:id="rId18" w:history="1">
        <w:r w:rsidRPr="00363921">
          <w:rPr>
            <w:color w:val="0000FF" w:themeColor="hyperlink"/>
            <w:sz w:val="20"/>
            <w:szCs w:val="20"/>
            <w:u w:val="single"/>
          </w:rPr>
          <w:t>portail  de l'université.</w:t>
        </w:r>
      </w:hyperlink>
    </w:p>
    <w:p w:rsidR="00363921" w:rsidRPr="00363921" w:rsidRDefault="00363921" w:rsidP="00363921">
      <w:pPr>
        <w:ind w:left="720"/>
        <w:contextualSpacing/>
        <w:rPr>
          <w:sz w:val="20"/>
          <w:szCs w:val="20"/>
        </w:rPr>
      </w:pPr>
    </w:p>
    <w:p w:rsidR="00363921" w:rsidRPr="00363921" w:rsidRDefault="00363921" w:rsidP="00363921">
      <w:pPr>
        <w:ind w:left="720"/>
        <w:contextualSpacing/>
        <w:rPr>
          <w:b/>
          <w:color w:val="548DD4" w:themeColor="text2" w:themeTint="99"/>
          <w:sz w:val="20"/>
          <w:szCs w:val="20"/>
          <w:u w:val="single"/>
        </w:rPr>
      </w:pPr>
      <w:r w:rsidRPr="00363921">
        <w:rPr>
          <w:b/>
          <w:color w:val="548DD4" w:themeColor="text2" w:themeTint="99"/>
          <w:sz w:val="20"/>
          <w:szCs w:val="20"/>
          <w:u w:val="single"/>
        </w:rPr>
        <w:t>Participation des membres de l’association</w:t>
      </w:r>
    </w:p>
    <w:p w:rsidR="00363921" w:rsidRPr="00363921" w:rsidRDefault="00363921" w:rsidP="00363921">
      <w:pPr>
        <w:ind w:left="720"/>
        <w:contextualSpacing/>
        <w:rPr>
          <w:b/>
          <w:color w:val="548DD4" w:themeColor="text2" w:themeTint="99"/>
          <w:sz w:val="20"/>
          <w:szCs w:val="20"/>
        </w:rPr>
      </w:pPr>
    </w:p>
    <w:p w:rsidR="00363921" w:rsidRPr="00363921" w:rsidRDefault="00363921" w:rsidP="00363921">
      <w:pPr>
        <w:numPr>
          <w:ilvl w:val="0"/>
          <w:numId w:val="2"/>
        </w:numPr>
        <w:contextualSpacing/>
        <w:rPr>
          <w:sz w:val="20"/>
          <w:szCs w:val="20"/>
        </w:rPr>
      </w:pPr>
      <w:r w:rsidRPr="00363921">
        <w:rPr>
          <w:sz w:val="20"/>
          <w:szCs w:val="20"/>
        </w:rPr>
        <w:t xml:space="preserve">Le retour des membres de l’association fait partie de l’organisation du congrès. Il se manifeste de façon formelle lors de l’AG plénière. J’ai également assisté à une discussion du groupe « BU » à partir de questions posées à l’avance. Il existe par ailleurs une liste de discussion pour les membres –non accessible aux éditeurs-  qui leur permet de partager les bonnes pratiques. Certains sujets abordés lors de cette discussion rejoignent des préoccupations de nos établissements : </w:t>
      </w:r>
    </w:p>
    <w:p w:rsidR="00363921" w:rsidRPr="00363921" w:rsidRDefault="00363921" w:rsidP="00363921">
      <w:pPr>
        <w:ind w:left="720"/>
        <w:contextualSpacing/>
        <w:rPr>
          <w:sz w:val="20"/>
          <w:szCs w:val="20"/>
        </w:rPr>
      </w:pPr>
      <w:r w:rsidRPr="00363921">
        <w:rPr>
          <w:sz w:val="20"/>
          <w:szCs w:val="20"/>
        </w:rPr>
        <w:t xml:space="preserve">Par exemple, l’utilisation de Google dans les recherches ; l’assertion «  chercher en droit (devenir juriste) c’est chercher de la jurisprudence ». Un débat intéressant (et non tranché) s’est instauré sur les limites de l’aide à la recherche. Questions également sur les « outils de découverte ». D’autres sujets sont plus éloignés du mode d’enseignement et de recherche français. </w:t>
      </w:r>
    </w:p>
    <w:p w:rsidR="00363921" w:rsidRPr="00363921" w:rsidRDefault="00363921" w:rsidP="00363921">
      <w:pPr>
        <w:ind w:left="720"/>
        <w:contextualSpacing/>
        <w:rPr>
          <w:sz w:val="20"/>
          <w:szCs w:val="20"/>
        </w:rPr>
      </w:pPr>
      <w:r w:rsidRPr="00363921">
        <w:rPr>
          <w:sz w:val="20"/>
          <w:szCs w:val="20"/>
        </w:rPr>
        <w:t xml:space="preserve">En plus de ces thèmes prospectifs et plus directement professionnels, le congrès a accueilli une exposition professionnelle d’éditeurs juridiques,  des conférences à teneur plus juridiques (sur la cybercriminalité et la protection des données), et a permis d’engager  de nombreuses discussions impromptues lors de pauses, notamment. </w:t>
      </w:r>
    </w:p>
    <w:p w:rsidR="00363921" w:rsidRPr="00363921" w:rsidRDefault="00363921" w:rsidP="00363921">
      <w:pPr>
        <w:ind w:left="720"/>
        <w:contextualSpacing/>
        <w:rPr>
          <w:sz w:val="20"/>
          <w:szCs w:val="20"/>
        </w:rPr>
      </w:pPr>
    </w:p>
    <w:p w:rsidR="00363921" w:rsidRPr="00363921" w:rsidRDefault="00363921" w:rsidP="00363921">
      <w:pPr>
        <w:ind w:left="720"/>
        <w:contextualSpacing/>
        <w:rPr>
          <w:sz w:val="20"/>
          <w:szCs w:val="20"/>
        </w:rPr>
      </w:pPr>
      <w:r w:rsidRPr="00363921">
        <w:rPr>
          <w:sz w:val="20"/>
          <w:szCs w:val="20"/>
        </w:rPr>
        <w:t xml:space="preserve">Il faut également noter l’atmosphère à la fois studieuse et informelle et le réel plaisir pris par les participants à assister à cet évènement annuel qui propose, outre les conférences et ateliers, un salon professionnel d’édition juridique et de nombreuses pauses et évènements conviviaux en soirée. </w:t>
      </w:r>
    </w:p>
    <w:p w:rsidR="00363921" w:rsidRPr="00363921" w:rsidRDefault="00363921" w:rsidP="00363921">
      <w:pPr>
        <w:ind w:left="720"/>
        <w:contextualSpacing/>
        <w:rPr>
          <w:sz w:val="20"/>
          <w:szCs w:val="20"/>
        </w:rPr>
      </w:pPr>
    </w:p>
    <w:p w:rsidR="00363921" w:rsidRPr="00363921" w:rsidRDefault="00363921" w:rsidP="00363921">
      <w:pPr>
        <w:keepNext/>
        <w:keepLines/>
        <w:spacing w:before="200" w:after="0"/>
        <w:jc w:val="center"/>
        <w:outlineLvl w:val="1"/>
        <w:rPr>
          <w:rFonts w:eastAsiaTheme="majorEastAsia" w:cstheme="majorBidi"/>
          <w:b/>
          <w:bCs/>
          <w:color w:val="4F81BD" w:themeColor="accent1"/>
          <w:sz w:val="20"/>
          <w:szCs w:val="20"/>
        </w:rPr>
      </w:pPr>
      <w:r w:rsidRPr="00363921">
        <w:rPr>
          <w:rFonts w:eastAsiaTheme="majorEastAsia" w:cstheme="majorBidi"/>
          <w:b/>
          <w:bCs/>
          <w:color w:val="4F81BD" w:themeColor="accent1"/>
          <w:sz w:val="20"/>
          <w:szCs w:val="20"/>
        </w:rPr>
        <w:t>La conférence BIALL 2017aura lieu  à Manchester, du 8 au 10 juin.</w:t>
      </w:r>
    </w:p>
    <w:p w:rsidR="00363921" w:rsidRPr="00363921" w:rsidRDefault="00363921" w:rsidP="00363921">
      <w:pPr>
        <w:rPr>
          <w:sz w:val="20"/>
          <w:szCs w:val="20"/>
        </w:rPr>
      </w:pPr>
    </w:p>
    <w:p w:rsidR="00C87854" w:rsidRPr="00363921" w:rsidRDefault="00363921" w:rsidP="00363921">
      <w:pPr>
        <w:jc w:val="right"/>
        <w:rPr>
          <w:sz w:val="20"/>
          <w:szCs w:val="20"/>
        </w:rPr>
      </w:pPr>
      <w:bookmarkStart w:id="0" w:name="_GoBack"/>
      <w:r w:rsidRPr="00363921">
        <w:rPr>
          <w:sz w:val="20"/>
          <w:szCs w:val="20"/>
        </w:rPr>
        <w:t xml:space="preserve">Sylvie </w:t>
      </w:r>
      <w:proofErr w:type="spellStart"/>
      <w:r w:rsidRPr="00363921">
        <w:rPr>
          <w:sz w:val="20"/>
          <w:szCs w:val="20"/>
        </w:rPr>
        <w:t>Chevillotte</w:t>
      </w:r>
      <w:proofErr w:type="spellEnd"/>
      <w:r w:rsidRPr="00363921">
        <w:rPr>
          <w:sz w:val="20"/>
          <w:szCs w:val="20"/>
        </w:rPr>
        <w:t xml:space="preserve">, BIU Cujas-Membre du CA de </w:t>
      </w:r>
      <w:proofErr w:type="spellStart"/>
      <w:r w:rsidRPr="00363921">
        <w:rPr>
          <w:sz w:val="20"/>
          <w:szCs w:val="20"/>
        </w:rPr>
        <w:t>Juriconnexion</w:t>
      </w:r>
      <w:bookmarkEnd w:id="0"/>
      <w:proofErr w:type="spellEnd"/>
    </w:p>
    <w:sectPr w:rsidR="00C87854" w:rsidRPr="0036392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69" w:rsidRDefault="0036392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69" w:rsidRPr="00D66569" w:rsidRDefault="00363921" w:rsidP="00D66569">
    <w:pPr>
      <w:pStyle w:val="Pieddepage"/>
      <w:jc w:val="center"/>
      <w:rPr>
        <w:sz w:val="16"/>
        <w:szCs w:val="16"/>
      </w:rPr>
    </w:pPr>
    <w:r w:rsidRPr="00B873E6">
      <w:rPr>
        <w:sz w:val="16"/>
        <w:szCs w:val="16"/>
      </w:rPr>
      <w:fldChar w:fldCharType="begin"/>
    </w:r>
    <w:r w:rsidRPr="00B873E6">
      <w:rPr>
        <w:sz w:val="16"/>
        <w:szCs w:val="16"/>
      </w:rPr>
      <w:instrText>PAGE   \* MERGEFORMAT</w:instrText>
    </w:r>
    <w:r w:rsidRPr="00B873E6">
      <w:rPr>
        <w:sz w:val="16"/>
        <w:szCs w:val="16"/>
      </w:rPr>
      <w:fldChar w:fldCharType="separate"/>
    </w:r>
    <w:r>
      <w:rPr>
        <w:noProof/>
        <w:sz w:val="16"/>
        <w:szCs w:val="16"/>
      </w:rPr>
      <w:t>3</w:t>
    </w:r>
    <w:r w:rsidRPr="00B873E6">
      <w:rPr>
        <w:sz w:val="16"/>
        <w:szCs w:val="16"/>
      </w:rPr>
      <w:fldChar w:fldCharType="end"/>
    </w:r>
    <w:r>
      <w:rPr>
        <w:sz w:val="16"/>
        <w:szCs w:val="16"/>
      </w:rPr>
      <w:t xml:space="preserve">- </w:t>
    </w:r>
    <w:proofErr w:type="spellStart"/>
    <w:r w:rsidRPr="00D66569">
      <w:rPr>
        <w:sz w:val="16"/>
        <w:szCs w:val="16"/>
      </w:rPr>
      <w:t>S.Chevillotte</w:t>
    </w:r>
    <w:proofErr w:type="spellEnd"/>
    <w:r w:rsidRPr="00D66569">
      <w:rPr>
        <w:sz w:val="16"/>
        <w:szCs w:val="16"/>
      </w:rPr>
      <w:t xml:space="preserve">- </w:t>
    </w:r>
    <w:r w:rsidRPr="00D66569">
      <w:rPr>
        <w:sz w:val="16"/>
        <w:szCs w:val="16"/>
      </w:rPr>
      <w:t>06-08-2016-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69" w:rsidRDefault="00363921">
    <w:pPr>
      <w:pStyle w:val="Pieddepag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69" w:rsidRDefault="0036392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69" w:rsidRDefault="0036392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569" w:rsidRDefault="0036392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C7A25"/>
    <w:multiLevelType w:val="hybridMultilevel"/>
    <w:tmpl w:val="DF08C6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E83FE9"/>
    <w:multiLevelType w:val="hybridMultilevel"/>
    <w:tmpl w:val="47B432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921"/>
    <w:rsid w:val="00363921"/>
    <w:rsid w:val="00C87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3921"/>
    <w:pPr>
      <w:tabs>
        <w:tab w:val="center" w:pos="4536"/>
        <w:tab w:val="right" w:pos="9072"/>
      </w:tabs>
      <w:spacing w:after="0" w:line="240" w:lineRule="auto"/>
    </w:pPr>
  </w:style>
  <w:style w:type="character" w:customStyle="1" w:styleId="En-tteCar">
    <w:name w:val="En-tête Car"/>
    <w:basedOn w:val="Policepardfaut"/>
    <w:link w:val="En-tte"/>
    <w:uiPriority w:val="99"/>
    <w:rsid w:val="00363921"/>
  </w:style>
  <w:style w:type="paragraph" w:styleId="Pieddepage">
    <w:name w:val="footer"/>
    <w:basedOn w:val="Normal"/>
    <w:link w:val="PieddepageCar"/>
    <w:uiPriority w:val="99"/>
    <w:unhideWhenUsed/>
    <w:rsid w:val="003639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921"/>
  </w:style>
  <w:style w:type="paragraph" w:styleId="Textedebulles">
    <w:name w:val="Balloon Text"/>
    <w:basedOn w:val="Normal"/>
    <w:link w:val="TextedebullesCar"/>
    <w:uiPriority w:val="99"/>
    <w:semiHidden/>
    <w:unhideWhenUsed/>
    <w:rsid w:val="003639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3921"/>
    <w:pPr>
      <w:tabs>
        <w:tab w:val="center" w:pos="4536"/>
        <w:tab w:val="right" w:pos="9072"/>
      </w:tabs>
      <w:spacing w:after="0" w:line="240" w:lineRule="auto"/>
    </w:pPr>
  </w:style>
  <w:style w:type="character" w:customStyle="1" w:styleId="En-tteCar">
    <w:name w:val="En-tête Car"/>
    <w:basedOn w:val="Policepardfaut"/>
    <w:link w:val="En-tte"/>
    <w:uiPriority w:val="99"/>
    <w:rsid w:val="00363921"/>
  </w:style>
  <w:style w:type="paragraph" w:styleId="Pieddepage">
    <w:name w:val="footer"/>
    <w:basedOn w:val="Normal"/>
    <w:link w:val="PieddepageCar"/>
    <w:uiPriority w:val="99"/>
    <w:unhideWhenUsed/>
    <w:rsid w:val="003639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3921"/>
  </w:style>
  <w:style w:type="paragraph" w:styleId="Textedebulles">
    <w:name w:val="Balloon Text"/>
    <w:basedOn w:val="Normal"/>
    <w:link w:val="TextedebullesCar"/>
    <w:uiPriority w:val="99"/>
    <w:semiHidden/>
    <w:unhideWhenUsed/>
    <w:rsid w:val="003639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u-cujas.univ-paris1.fr/fr" TargetMode="External"/><Relationship Id="rId13" Type="http://schemas.openxmlformats.org/officeDocument/2006/relationships/hyperlink" Target="http://www.biall.org.uk/pages/council.html" TargetMode="External"/><Relationship Id="rId18" Type="http://schemas.openxmlformats.org/officeDocument/2006/relationships/hyperlink" Target="https://facultyblogs.law.ufl.ed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hyperlink" Target="http://www.biall.org.uk/pages/dublin-2016-" TargetMode="External"/><Relationship Id="rId12" Type="http://schemas.openxmlformats.org/officeDocument/2006/relationships/hyperlink" Target="mailto:president@biall.org.uk" TargetMode="External"/><Relationship Id="rId17" Type="http://schemas.openxmlformats.org/officeDocument/2006/relationships/hyperlink" Target="http://www.open.ac.uk/libraryservices/subsites/dilframewor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isc.ac.uk/guides/developing-students-digital-literacy"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aallnet.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iall.org.uk/pages/conference-presentations.html" TargetMode="External"/><Relationship Id="rId23" Type="http://schemas.openxmlformats.org/officeDocument/2006/relationships/header" Target="header3.xml"/><Relationship Id="rId10" Type="http://schemas.openxmlformats.org/officeDocument/2006/relationships/hyperlink" Target="http://www.callacbd.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all.org.uk/pages/kluwer-law-international-bursary.html" TargetMode="External"/><Relationship Id="rId14" Type="http://schemas.openxmlformats.org/officeDocument/2006/relationships/hyperlink" Target="http://www.biall.org.uk/pages/dublin-2016-conference-programme-431.html"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7616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cujas</dc:creator>
  <cp:lastModifiedBy>cujas</cp:lastModifiedBy>
  <cp:revision>1</cp:revision>
  <dcterms:created xsi:type="dcterms:W3CDTF">2016-09-28T07:37:00Z</dcterms:created>
  <dcterms:modified xsi:type="dcterms:W3CDTF">2016-09-28T07:38:00Z</dcterms:modified>
</cp:coreProperties>
</file>